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CellSpacing w:w="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20" w:type="dxa"/>
        </w:trPr>
        <w:tc>
          <w:tcPr>
            <w:tcW w:w="14040" w:type="dxa"/>
            <w:tcMar>
              <w:top w:w="15" w:type="dxa"/>
              <w:left w:w="15" w:type="dxa"/>
              <w:bottom w:w="15" w:type="dxa"/>
              <w:right w:w="15" w:type="dxa"/>
            </w:tcMar>
            <w:vAlign w:val="center"/>
          </w:tcPr>
          <w:p>
            <w:pPr>
              <w:spacing w:after="0"/>
              <w:ind w:left="0"/>
              <w:jc w:val="left"/>
            </w:pPr>
            <w:r>
              <w:rPr>
                <w:rFonts w:ascii="Times New Roman" w:hAnsi="Times New Roman"/>
                <w:b w:val="0"/>
                <w:i w:val="0"/>
                <w:color w:val="000000"/>
                <w:sz w:val="21"/>
              </w:rPr>
              <w:t>【发布单位】贵州省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20" w:type="dxa"/>
        </w:trPr>
        <w:tc>
          <w:tcPr>
            <w:tcW w:w="14040" w:type="dxa"/>
            <w:tcMar>
              <w:top w:w="15" w:type="dxa"/>
              <w:left w:w="15" w:type="dxa"/>
              <w:bottom w:w="15" w:type="dxa"/>
              <w:right w:w="15" w:type="dxa"/>
            </w:tcMar>
            <w:vAlign w:val="center"/>
          </w:tcPr>
          <w:p>
            <w:pPr>
              <w:spacing w:after="0"/>
              <w:ind w:left="0"/>
              <w:jc w:val="left"/>
            </w:pPr>
            <w:r>
              <w:rPr>
                <w:rFonts w:ascii="Times New Roman" w:hAnsi="Times New Roman"/>
                <w:b w:val="0"/>
                <w:i w:val="0"/>
                <w:color w:val="000000"/>
                <w:sz w:val="21"/>
              </w:rPr>
              <w:t>【发布文号】贵州省人民政府令第102号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20" w:type="dxa"/>
        </w:trPr>
        <w:tc>
          <w:tcPr>
            <w:tcW w:w="14040" w:type="dxa"/>
            <w:tcMar>
              <w:top w:w="15" w:type="dxa"/>
              <w:left w:w="15" w:type="dxa"/>
              <w:bottom w:w="15" w:type="dxa"/>
              <w:right w:w="15" w:type="dxa"/>
            </w:tcMar>
            <w:vAlign w:val="center"/>
          </w:tcPr>
          <w:p>
            <w:pPr>
              <w:spacing w:after="0"/>
              <w:ind w:left="0"/>
              <w:jc w:val="left"/>
            </w:pPr>
            <w:r>
              <w:rPr>
                <w:rFonts w:ascii="Times New Roman" w:hAnsi="Times New Roman"/>
                <w:b w:val="0"/>
                <w:i w:val="0"/>
                <w:color w:val="000000"/>
                <w:sz w:val="21"/>
              </w:rPr>
              <w:t>【发布日期】2007-07-26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20" w:type="dxa"/>
        </w:trPr>
        <w:tc>
          <w:tcPr>
            <w:tcW w:w="14040" w:type="dxa"/>
            <w:tcMar>
              <w:top w:w="15" w:type="dxa"/>
              <w:left w:w="15" w:type="dxa"/>
              <w:bottom w:w="15" w:type="dxa"/>
              <w:right w:w="15" w:type="dxa"/>
            </w:tcMar>
            <w:vAlign w:val="center"/>
          </w:tcPr>
          <w:p>
            <w:pPr>
              <w:spacing w:after="0"/>
              <w:ind w:left="0"/>
              <w:jc w:val="left"/>
            </w:pPr>
            <w:r>
              <w:rPr>
                <w:rFonts w:ascii="Times New Roman" w:hAnsi="Times New Roman"/>
                <w:b w:val="0"/>
                <w:i w:val="0"/>
                <w:color w:val="000000"/>
                <w:sz w:val="21"/>
              </w:rPr>
              <w:t>【生效日期】2007-10-01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20" w:type="dxa"/>
        </w:trPr>
        <w:tc>
          <w:tcPr>
            <w:tcW w:w="14040" w:type="dxa"/>
            <w:tcMar>
              <w:top w:w="15" w:type="dxa"/>
              <w:left w:w="15" w:type="dxa"/>
              <w:bottom w:w="15" w:type="dxa"/>
              <w:right w:w="15" w:type="dxa"/>
            </w:tcMar>
            <w:vAlign w:val="center"/>
          </w:tcPr>
          <w:p>
            <w:pPr>
              <w:spacing w:after="0"/>
              <w:ind w:left="0"/>
              <w:jc w:val="left"/>
            </w:pPr>
            <w:r>
              <w:rPr>
                <w:rFonts w:ascii="Times New Roman" w:hAnsi="Times New Roman"/>
                <w:b w:val="0"/>
                <w:i w:val="0"/>
                <w:color w:val="000000"/>
                <w:sz w:val="21"/>
              </w:rPr>
              <w:t>【失效日期】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20" w:type="dxa"/>
        </w:trPr>
        <w:tc>
          <w:tcPr>
            <w:tcW w:w="14040" w:type="dxa"/>
            <w:tcMar>
              <w:top w:w="15" w:type="dxa"/>
              <w:left w:w="15" w:type="dxa"/>
              <w:bottom w:w="15" w:type="dxa"/>
              <w:right w:w="15" w:type="dxa"/>
            </w:tcMar>
            <w:vAlign w:val="center"/>
          </w:tcPr>
          <w:p>
            <w:pPr>
              <w:spacing w:after="0"/>
              <w:ind w:left="0"/>
              <w:jc w:val="left"/>
            </w:pPr>
            <w:r>
              <w:rPr>
                <w:rFonts w:ascii="Times New Roman" w:hAnsi="Times New Roman"/>
                <w:b w:val="0"/>
                <w:i w:val="0"/>
                <w:color w:val="000000"/>
                <w:sz w:val="21"/>
              </w:rPr>
              <w:t>【所属类别】地方法规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20" w:type="dxa"/>
        </w:trPr>
        <w:tc>
          <w:tcPr>
            <w:tcW w:w="14040" w:type="dxa"/>
            <w:tcMar>
              <w:top w:w="15" w:type="dxa"/>
              <w:left w:w="15" w:type="dxa"/>
              <w:bottom w:w="15" w:type="dxa"/>
              <w:right w:w="15" w:type="dxa"/>
            </w:tcMar>
            <w:vAlign w:val="center"/>
          </w:tcPr>
          <w:p>
            <w:pPr>
              <w:spacing w:after="0"/>
              <w:ind w:left="0"/>
              <w:jc w:val="left"/>
            </w:pPr>
            <w:r>
              <w:rPr>
                <w:rFonts w:ascii="Times New Roman" w:hAnsi="Times New Roman"/>
                <w:b w:val="0"/>
                <w:i w:val="0"/>
                <w:color w:val="000000"/>
                <w:sz w:val="21"/>
              </w:rPr>
              <w:t xml:space="preserve">【文件来源】国务院法制办公室 </w:t>
            </w:r>
          </w:p>
        </w:tc>
      </w:tr>
    </w:tbl>
    <w:p>
      <w:pPr>
        <w:spacing w:after="0"/>
        <w:ind w:left="120"/>
        <w:jc w:val="left"/>
      </w:pPr>
      <w:r>
        <w:rPr>
          <w:rFonts w:ascii="Times New Roman" w:hAnsi="Times New Roman"/>
          <w:b w:val="0"/>
          <w:i w:val="0"/>
          <w:color w:val="000000"/>
          <w:sz w:val="22"/>
        </w:rPr>
        <w:t xml:space="preserve">
  </w:t>
      </w:r>
      <w:r>
        <w:br w:type="textWrapping"/>
      </w:r>
      <w:r>
        <w:rPr>
          <w:rFonts w:ascii="Times New Roman" w:hAnsi="Times New Roman"/>
          <w:b w:val="0"/>
          <w:i w:val="0"/>
          <w:color w:val="000000"/>
          <w:sz w:val="22"/>
        </w:rPr>
        <w:t xml:space="preserve">
  </w:t>
      </w:r>
      <w:r>
        <w:br w:type="textWrapping"/>
      </w:r>
      <w:r>
        <w:rPr>
          <w:rFonts w:ascii="Times New Roman" w:hAnsi="Times New Roman"/>
          <w:b w:val="0"/>
          <w:i w:val="0"/>
          <w:color w:val="000000"/>
          <w:sz w:val="22"/>
        </w:rPr>
        <w:t xml:space="preserve">
  </w:t>
      </w:r>
    </w:p>
    <w:p>
      <w:pPr>
        <w:spacing w:after="0"/>
        <w:ind w:left="120"/>
        <w:jc w:val="center"/>
      </w:pPr>
      <w:r>
        <w:rPr>
          <w:rFonts w:ascii="Times New Roman" w:hAnsi="Times New Roman"/>
          <w:b/>
          <w:bCs/>
          <w:i w:val="0"/>
          <w:color w:val="000000"/>
          <w:sz w:val="32"/>
          <w:szCs w:val="32"/>
        </w:rPr>
        <w:t>贵州省专业技术人员继续教育规定</w:t>
      </w:r>
      <w:r>
        <w:br w:type="textWrapping"/>
      </w:r>
      <w:r>
        <w:rPr>
          <w:rFonts w:ascii="Times New Roman" w:hAnsi="Times New Roman"/>
          <w:b w:val="0"/>
          <w:i w:val="0"/>
          <w:color w:val="000000"/>
          <w:sz w:val="22"/>
        </w:rPr>
        <w:t xml:space="preserve"> </w:t>
      </w:r>
      <w:r>
        <w:br w:type="textWrapping"/>
      </w:r>
      <w:r>
        <w:rPr>
          <w:rFonts w:ascii="Times New Roman" w:hAnsi="Times New Roman"/>
          <w:b w:val="0"/>
          <w:i w:val="0"/>
          <w:color w:val="000000"/>
          <w:sz w:val="22"/>
        </w:rPr>
        <w:t>（2007年7月16日贵州省人民政府第52次常务会议审议通过 2007年7月26日贵州省人民政府令第102号公布 自2007年10月1日起施行）</w:t>
      </w:r>
    </w:p>
    <w:p>
      <w:pPr>
        <w:spacing w:after="0"/>
        <w:ind w:left="120"/>
        <w:jc w:val="left"/>
        <w:rPr>
          <w:sz w:val="24"/>
          <w:szCs w:val="24"/>
        </w:rPr>
      </w:pPr>
      <w:r>
        <w:rPr>
          <w:rFonts w:ascii="Times New Roman" w:hAnsi="Times New Roman"/>
          <w:b w:val="0"/>
          <w:i w:val="0"/>
          <w:color w:val="000000"/>
          <w:sz w:val="22"/>
        </w:rPr>
        <w:t xml:space="preserve">
   </w:t>
      </w:r>
      <w:r>
        <w:br w:type="textWrapping"/>
      </w:r>
      <w:r>
        <w:rPr>
          <w:rFonts w:ascii="Times New Roman" w:hAnsi="Times New Roman"/>
          <w:b w:val="0"/>
          <w:i w:val="0"/>
          <w:color w:val="000000"/>
          <w:sz w:val="22"/>
        </w:rPr>
        <w:t xml:space="preserve">
   </w:t>
      </w:r>
      <w:r>
        <w:br w:type="textWrapping"/>
      </w:r>
      <w:r>
        <w:rPr>
          <w:rFonts w:ascii="Times New Roman" w:hAnsi="Times New Roman"/>
          <w:b w:val="0"/>
          <w:i w:val="0"/>
          <w:color w:val="000000"/>
          <w:sz w:val="22"/>
        </w:rPr>
        <w:t xml:space="preserve">
   </w:t>
      </w:r>
      <w:r>
        <w:rPr>
          <w:sz w:val="24"/>
          <w:szCs w:val="24"/>
        </w:rPr>
        <w:br w:type="textWrapping"/>
      </w:r>
      <w:r>
        <w:rPr>
          <w:sz w:val="24"/>
          <w:szCs w:val="24"/>
        </w:rPr>
        <w:t xml:space="preserve"> 
   </w:t>
      </w:r>
      <w:bookmarkStart w:id="0" w:name="1"/>
      <w:r>
        <w:rPr>
          <w:sz w:val="24"/>
          <w:szCs w:val="24"/>
        </w:rPr>
        <w:t>第一条</w:t>
      </w:r>
      <w:bookmarkEnd w:id="0"/>
      <w:r>
        <w:rPr>
          <w:sz w:val="24"/>
          <w:szCs w:val="24"/>
        </w:rPr>
        <w:t xml:space="preserve">第一条 为提高专业技术人员素质，适应经济社会发展需要，根据《
   </w:t>
      </w:r>
      <w:r>
        <w:rPr>
          <w:sz w:val="24"/>
          <w:szCs w:val="24"/>
        </w:rPr>
        <w:fldChar w:fldCharType="begin"/>
      </w:r>
      <w:r>
        <w:rPr>
          <w:sz w:val="24"/>
          <w:szCs w:val="24"/>
        </w:rPr>
        <w:instrText xml:space="preserve"> HYPERLINK "javascript:ROF(124107,0)" \h </w:instrText>
      </w:r>
      <w:r>
        <w:rPr>
          <w:sz w:val="24"/>
          <w:szCs w:val="24"/>
        </w:rPr>
        <w:fldChar w:fldCharType="separate"/>
      </w:r>
      <w:r>
        <w:rPr>
          <w:sz w:val="24"/>
          <w:szCs w:val="24"/>
        </w:rPr>
        <w:t>中华人民共和国科学技术进步法</w:t>
      </w:r>
      <w:r>
        <w:rPr>
          <w:sz w:val="24"/>
          <w:szCs w:val="24"/>
        </w:rPr>
        <w:fldChar w:fldCharType="end"/>
      </w:r>
      <w:r>
        <w:rPr>
          <w:sz w:val="24"/>
          <w:szCs w:val="24"/>
        </w:rPr>
        <w:t xml:space="preserve">》、《
   </w:t>
      </w:r>
      <w:r>
        <w:rPr>
          <w:sz w:val="24"/>
          <w:szCs w:val="24"/>
        </w:rPr>
        <w:fldChar w:fldCharType="begin"/>
      </w:r>
      <w:r>
        <w:rPr>
          <w:sz w:val="24"/>
          <w:szCs w:val="24"/>
        </w:rPr>
        <w:instrText xml:space="preserve"> HYPERLINK "javascript:ROF(22094,0)" \h </w:instrText>
      </w:r>
      <w:r>
        <w:rPr>
          <w:sz w:val="24"/>
          <w:szCs w:val="24"/>
        </w:rPr>
        <w:fldChar w:fldCharType="separate"/>
      </w:r>
      <w:r>
        <w:rPr>
          <w:sz w:val="24"/>
          <w:szCs w:val="24"/>
        </w:rPr>
        <w:t>中华人民共和国教育法</w:t>
      </w:r>
      <w:r>
        <w:rPr>
          <w:sz w:val="24"/>
          <w:szCs w:val="24"/>
        </w:rPr>
        <w:fldChar w:fldCharType="end"/>
      </w:r>
      <w:r>
        <w:rPr>
          <w:sz w:val="24"/>
          <w:szCs w:val="24"/>
        </w:rPr>
        <w:t xml:space="preserve">》等有关法律、法规的规定，结合本省实际，制定本规定。
   </w:t>
      </w:r>
      <w:r>
        <w:rPr>
          <w:sz w:val="24"/>
          <w:szCs w:val="24"/>
        </w:rPr>
        <w:br w:type="textWrapping"/>
      </w:r>
      <w:r>
        <w:rPr>
          <w:sz w:val="24"/>
          <w:szCs w:val="24"/>
        </w:rPr>
        <w:t xml:space="preserve">
   </w:t>
      </w:r>
      <w:r>
        <w:rPr>
          <w:sz w:val="24"/>
          <w:szCs w:val="24"/>
        </w:rPr>
        <w:br w:type="textWrapping"/>
      </w:r>
      <w:r>
        <w:rPr>
          <w:sz w:val="24"/>
          <w:szCs w:val="24"/>
        </w:rPr>
        <w:t xml:space="preserve"> 
   </w:t>
      </w:r>
      <w:bookmarkStart w:id="1" w:name="2"/>
      <w:r>
        <w:rPr>
          <w:sz w:val="24"/>
          <w:szCs w:val="24"/>
        </w:rPr>
        <w:t>第二条</w:t>
      </w:r>
      <w:bookmarkEnd w:id="1"/>
      <w:r>
        <w:rPr>
          <w:sz w:val="24"/>
          <w:szCs w:val="24"/>
        </w:rPr>
        <w:t xml:space="preserve">第二条 本规定适用于本省行政区域内专业技术人员的继续教育。
   </w:t>
      </w:r>
      <w:r>
        <w:rPr>
          <w:sz w:val="24"/>
          <w:szCs w:val="24"/>
        </w:rPr>
        <w:br w:type="textWrapping"/>
      </w:r>
      <w:r>
        <w:rPr>
          <w:sz w:val="24"/>
          <w:szCs w:val="24"/>
        </w:rPr>
        <w:t xml:space="preserve">
   </w:t>
      </w:r>
      <w:r>
        <w:rPr>
          <w:sz w:val="24"/>
          <w:szCs w:val="24"/>
        </w:rPr>
        <w:br w:type="textWrapping"/>
      </w:r>
      <w:r>
        <w:rPr>
          <w:sz w:val="24"/>
          <w:szCs w:val="24"/>
        </w:rPr>
        <w:t xml:space="preserve"> 
   </w:t>
      </w:r>
      <w:bookmarkStart w:id="2" w:name="3"/>
      <w:r>
        <w:rPr>
          <w:sz w:val="24"/>
          <w:szCs w:val="24"/>
        </w:rPr>
        <w:t>第三条</w:t>
      </w:r>
      <w:bookmarkEnd w:id="2"/>
      <w:r>
        <w:rPr>
          <w:sz w:val="24"/>
          <w:szCs w:val="24"/>
        </w:rPr>
        <w:t xml:space="preserve">第三条 本规定所称专业技术人员是指国家机关专业技术类人员，企业、事业单位以及其他社会组织从事专业技术和管理的人员。
   </w:t>
      </w:r>
      <w:r>
        <w:rPr>
          <w:sz w:val="24"/>
          <w:szCs w:val="24"/>
        </w:rPr>
        <w:br w:type="textWrapping"/>
      </w:r>
      <w:r>
        <w:rPr>
          <w:sz w:val="24"/>
          <w:szCs w:val="24"/>
        </w:rPr>
        <w:t xml:space="preserve">
   </w:t>
      </w:r>
      <w:r>
        <w:rPr>
          <w:sz w:val="24"/>
          <w:szCs w:val="24"/>
        </w:rPr>
        <w:br w:type="textWrapping"/>
      </w:r>
      <w:r>
        <w:rPr>
          <w:sz w:val="24"/>
          <w:szCs w:val="24"/>
        </w:rPr>
        <w:t xml:space="preserve"> 本规定所称专业技术人员继续教育（以下简称继续教育）是指对在职专业技术人员进行知识和技能的补充、更新、拓宽和提高。
   </w:t>
      </w:r>
      <w:r>
        <w:rPr>
          <w:sz w:val="24"/>
          <w:szCs w:val="24"/>
        </w:rPr>
        <w:br w:type="textWrapping"/>
      </w:r>
      <w:r>
        <w:rPr>
          <w:sz w:val="24"/>
          <w:szCs w:val="24"/>
        </w:rPr>
        <w:t xml:space="preserve">
   </w:t>
      </w:r>
      <w:r>
        <w:rPr>
          <w:sz w:val="24"/>
          <w:szCs w:val="24"/>
        </w:rPr>
        <w:br w:type="textWrapping"/>
      </w:r>
      <w:r>
        <w:rPr>
          <w:sz w:val="24"/>
          <w:szCs w:val="24"/>
        </w:rPr>
        <w:t xml:space="preserve"> 
   </w:t>
      </w:r>
      <w:bookmarkStart w:id="3" w:name="4"/>
      <w:r>
        <w:rPr>
          <w:sz w:val="24"/>
          <w:szCs w:val="24"/>
        </w:rPr>
        <w:t>第四条</w:t>
      </w:r>
      <w:bookmarkEnd w:id="3"/>
      <w:r>
        <w:rPr>
          <w:sz w:val="24"/>
          <w:szCs w:val="24"/>
        </w:rPr>
        <w:t xml:space="preserve">第四条 省人民政府人事行政部门负责全省继续教育的规划、指导、协调和监督。
   </w:t>
      </w:r>
      <w:r>
        <w:rPr>
          <w:sz w:val="24"/>
          <w:szCs w:val="24"/>
        </w:rPr>
        <w:br w:type="textWrapping"/>
      </w:r>
      <w:r>
        <w:rPr>
          <w:sz w:val="24"/>
          <w:szCs w:val="24"/>
        </w:rPr>
        <w:t xml:space="preserve">
   </w:t>
      </w:r>
      <w:r>
        <w:rPr>
          <w:sz w:val="24"/>
          <w:szCs w:val="24"/>
        </w:rPr>
        <w:br w:type="textWrapping"/>
      </w:r>
      <w:r>
        <w:rPr>
          <w:sz w:val="24"/>
          <w:szCs w:val="24"/>
        </w:rPr>
        <w:t xml:space="preserve"> 市（州、地）人民政府（行署）和县级人民政府人事行政部门负责本行政区域内继续教育的组织实施和监督检查。
   </w:t>
      </w:r>
      <w:r>
        <w:rPr>
          <w:sz w:val="24"/>
          <w:szCs w:val="24"/>
        </w:rPr>
        <w:br w:type="textWrapping"/>
      </w:r>
      <w:r>
        <w:rPr>
          <w:sz w:val="24"/>
          <w:szCs w:val="24"/>
        </w:rPr>
        <w:t xml:space="preserve">
   </w:t>
      </w:r>
      <w:r>
        <w:rPr>
          <w:sz w:val="24"/>
          <w:szCs w:val="24"/>
        </w:rPr>
        <w:br w:type="textWrapping"/>
      </w:r>
      <w:r>
        <w:rPr>
          <w:sz w:val="24"/>
          <w:szCs w:val="24"/>
        </w:rPr>
        <w:t xml:space="preserve"> 行业管理部门负责制定本行业继续教育规划和计划，并组织实施。
   </w:t>
      </w:r>
      <w:r>
        <w:rPr>
          <w:sz w:val="24"/>
          <w:szCs w:val="24"/>
        </w:rPr>
        <w:br w:type="textWrapping"/>
      </w:r>
      <w:r>
        <w:rPr>
          <w:sz w:val="24"/>
          <w:szCs w:val="24"/>
        </w:rPr>
        <w:t xml:space="preserve">
   </w:t>
      </w:r>
      <w:r>
        <w:rPr>
          <w:sz w:val="24"/>
          <w:szCs w:val="24"/>
        </w:rPr>
        <w:br w:type="textWrapping"/>
      </w:r>
      <w:r>
        <w:rPr>
          <w:sz w:val="24"/>
          <w:szCs w:val="24"/>
        </w:rPr>
        <w:t xml:space="preserve"> 县级以上人民政府人事行政部门会同行业管理部门制定继续教育的公共科目培训计划，并组织实施。
   </w:t>
      </w:r>
      <w:r>
        <w:rPr>
          <w:sz w:val="24"/>
          <w:szCs w:val="24"/>
        </w:rPr>
        <w:br w:type="textWrapping"/>
      </w:r>
      <w:r>
        <w:rPr>
          <w:sz w:val="24"/>
          <w:szCs w:val="24"/>
        </w:rPr>
        <w:t xml:space="preserve">
   </w:t>
      </w:r>
      <w:r>
        <w:rPr>
          <w:sz w:val="24"/>
          <w:szCs w:val="24"/>
        </w:rPr>
        <w:br w:type="textWrapping"/>
      </w:r>
      <w:r>
        <w:rPr>
          <w:sz w:val="24"/>
          <w:szCs w:val="24"/>
        </w:rPr>
        <w:t xml:space="preserve"> 
   </w:t>
      </w:r>
      <w:bookmarkStart w:id="4" w:name="5"/>
      <w:r>
        <w:rPr>
          <w:sz w:val="24"/>
          <w:szCs w:val="24"/>
        </w:rPr>
        <w:t>第五条</w:t>
      </w:r>
      <w:bookmarkEnd w:id="4"/>
      <w:r>
        <w:rPr>
          <w:sz w:val="24"/>
          <w:szCs w:val="24"/>
        </w:rPr>
        <w:t xml:space="preserve">第五条 继续教育坚持理论联系实际、学用结合、按需施教、注重实效的原则，以短期培训、业余时间学习和自学为主。对不同专业、层次的专业技术人员实行分类指导、分层安排。
   </w:t>
      </w:r>
      <w:r>
        <w:rPr>
          <w:sz w:val="24"/>
          <w:szCs w:val="24"/>
        </w:rPr>
        <w:br w:type="textWrapping"/>
      </w:r>
      <w:r>
        <w:rPr>
          <w:sz w:val="24"/>
          <w:szCs w:val="24"/>
        </w:rPr>
        <w:t xml:space="preserve">
   </w:t>
      </w:r>
      <w:r>
        <w:rPr>
          <w:sz w:val="24"/>
          <w:szCs w:val="24"/>
        </w:rPr>
        <w:br w:type="textWrapping"/>
      </w:r>
      <w:r>
        <w:rPr>
          <w:sz w:val="24"/>
          <w:szCs w:val="24"/>
        </w:rPr>
        <w:t xml:space="preserve"> 
   </w:t>
      </w:r>
      <w:bookmarkStart w:id="5" w:name="6"/>
      <w:r>
        <w:rPr>
          <w:sz w:val="24"/>
          <w:szCs w:val="24"/>
        </w:rPr>
        <w:t>第六条</w:t>
      </w:r>
      <w:bookmarkEnd w:id="5"/>
      <w:r>
        <w:rPr>
          <w:sz w:val="24"/>
          <w:szCs w:val="24"/>
        </w:rPr>
        <w:t xml:space="preserve">第六条 高等院校以及经依法批准设立的各类职业教育机构、成人教育机构、其他从事继续教育的专门培训机构（以下简称继续教育培训机构），可以在其专业范围内从事继续教育活动。
   </w:t>
      </w:r>
      <w:r>
        <w:rPr>
          <w:sz w:val="24"/>
          <w:szCs w:val="24"/>
        </w:rPr>
        <w:br w:type="textWrapping"/>
      </w:r>
      <w:r>
        <w:rPr>
          <w:sz w:val="24"/>
          <w:szCs w:val="24"/>
        </w:rPr>
        <w:t xml:space="preserve">
   </w:t>
      </w:r>
      <w:r>
        <w:rPr>
          <w:sz w:val="24"/>
          <w:szCs w:val="24"/>
        </w:rPr>
        <w:br w:type="textWrapping"/>
      </w:r>
      <w:r>
        <w:rPr>
          <w:sz w:val="24"/>
          <w:szCs w:val="24"/>
        </w:rPr>
        <w:t xml:space="preserve"> 继续教育培训机构应当建立师资库，加强教学管理，保证教学质量。
   </w:t>
      </w:r>
      <w:r>
        <w:rPr>
          <w:sz w:val="24"/>
          <w:szCs w:val="24"/>
        </w:rPr>
        <w:br w:type="textWrapping"/>
      </w:r>
      <w:r>
        <w:rPr>
          <w:sz w:val="24"/>
          <w:szCs w:val="24"/>
        </w:rPr>
        <w:t xml:space="preserve">
   </w:t>
      </w:r>
      <w:r>
        <w:rPr>
          <w:sz w:val="24"/>
          <w:szCs w:val="24"/>
        </w:rPr>
        <w:br w:type="textWrapping"/>
      </w:r>
      <w:r>
        <w:rPr>
          <w:sz w:val="24"/>
          <w:szCs w:val="24"/>
        </w:rPr>
        <w:t xml:space="preserve"> 
   </w:t>
      </w:r>
      <w:bookmarkStart w:id="6" w:name="7"/>
      <w:r>
        <w:rPr>
          <w:sz w:val="24"/>
          <w:szCs w:val="24"/>
        </w:rPr>
        <w:t>第七条</w:t>
      </w:r>
      <w:bookmarkEnd w:id="6"/>
      <w:r>
        <w:rPr>
          <w:sz w:val="24"/>
          <w:szCs w:val="24"/>
        </w:rPr>
        <w:t xml:space="preserve">第七条 专业技术人员接受继续教育的形式：
   </w:t>
      </w:r>
      <w:r>
        <w:rPr>
          <w:sz w:val="24"/>
          <w:szCs w:val="24"/>
        </w:rPr>
        <w:br w:type="textWrapping"/>
      </w:r>
      <w:r>
        <w:rPr>
          <w:sz w:val="24"/>
          <w:szCs w:val="24"/>
        </w:rPr>
        <w:t xml:space="preserve">
   </w:t>
      </w:r>
      <w:r>
        <w:rPr>
          <w:sz w:val="24"/>
          <w:szCs w:val="24"/>
        </w:rPr>
        <w:br w:type="textWrapping"/>
      </w:r>
      <w:r>
        <w:rPr>
          <w:sz w:val="24"/>
          <w:szCs w:val="24"/>
        </w:rPr>
        <w:t xml:space="preserve"> （一）参加继续教育培训机构举办的函授、进修班、研修班、培训班和讲座；
   </w:t>
      </w:r>
      <w:r>
        <w:rPr>
          <w:sz w:val="24"/>
          <w:szCs w:val="24"/>
        </w:rPr>
        <w:br w:type="textWrapping"/>
      </w:r>
      <w:r>
        <w:rPr>
          <w:sz w:val="24"/>
          <w:szCs w:val="24"/>
        </w:rPr>
        <w:t xml:space="preserve">
   </w:t>
      </w:r>
      <w:r>
        <w:rPr>
          <w:sz w:val="24"/>
          <w:szCs w:val="24"/>
        </w:rPr>
        <w:br w:type="textWrapping"/>
      </w:r>
      <w:r>
        <w:rPr>
          <w:sz w:val="24"/>
          <w:szCs w:val="24"/>
        </w:rPr>
        <w:t xml:space="preserve"> （二）到教学、科研、生产单位研修；
   </w:t>
      </w:r>
      <w:r>
        <w:rPr>
          <w:sz w:val="24"/>
          <w:szCs w:val="24"/>
        </w:rPr>
        <w:br w:type="textWrapping"/>
      </w:r>
      <w:r>
        <w:rPr>
          <w:sz w:val="24"/>
          <w:szCs w:val="24"/>
        </w:rPr>
        <w:t xml:space="preserve">
   </w:t>
      </w:r>
      <w:r>
        <w:rPr>
          <w:sz w:val="24"/>
          <w:szCs w:val="24"/>
        </w:rPr>
        <w:br w:type="textWrapping"/>
      </w:r>
      <w:r>
        <w:rPr>
          <w:sz w:val="24"/>
          <w:szCs w:val="24"/>
        </w:rPr>
        <w:t xml:space="preserve"> （三）参加国内外学术会议、学术交流、学术讲座；
   </w:t>
      </w:r>
      <w:r>
        <w:rPr>
          <w:sz w:val="24"/>
          <w:szCs w:val="24"/>
        </w:rPr>
        <w:br w:type="textWrapping"/>
      </w:r>
      <w:r>
        <w:rPr>
          <w:sz w:val="24"/>
          <w:szCs w:val="24"/>
        </w:rPr>
        <w:t xml:space="preserve">
   </w:t>
      </w:r>
      <w:r>
        <w:rPr>
          <w:sz w:val="24"/>
          <w:szCs w:val="24"/>
        </w:rPr>
        <w:br w:type="textWrapping"/>
      </w:r>
      <w:r>
        <w:rPr>
          <w:sz w:val="24"/>
          <w:szCs w:val="24"/>
        </w:rPr>
        <w:t xml:space="preserve"> （四）出国（境）进修、培训、考察；
   </w:t>
      </w:r>
      <w:r>
        <w:rPr>
          <w:sz w:val="24"/>
          <w:szCs w:val="24"/>
        </w:rPr>
        <w:br w:type="textWrapping"/>
      </w:r>
      <w:r>
        <w:rPr>
          <w:sz w:val="24"/>
          <w:szCs w:val="24"/>
        </w:rPr>
        <w:t xml:space="preserve">
   </w:t>
      </w:r>
      <w:r>
        <w:rPr>
          <w:sz w:val="24"/>
          <w:szCs w:val="24"/>
        </w:rPr>
        <w:br w:type="textWrapping"/>
      </w:r>
      <w:r>
        <w:rPr>
          <w:sz w:val="24"/>
          <w:szCs w:val="24"/>
        </w:rPr>
        <w:t xml:space="preserve"> （五）攻读学位或者接受学历教育；
   </w:t>
      </w:r>
      <w:r>
        <w:rPr>
          <w:sz w:val="24"/>
          <w:szCs w:val="24"/>
        </w:rPr>
        <w:br w:type="textWrapping"/>
      </w:r>
      <w:r>
        <w:rPr>
          <w:sz w:val="24"/>
          <w:szCs w:val="24"/>
        </w:rPr>
        <w:t xml:space="preserve">
   </w:t>
      </w:r>
      <w:r>
        <w:rPr>
          <w:sz w:val="24"/>
          <w:szCs w:val="24"/>
        </w:rPr>
        <w:br w:type="textWrapping"/>
      </w:r>
      <w:r>
        <w:rPr>
          <w:sz w:val="24"/>
          <w:szCs w:val="24"/>
        </w:rPr>
        <w:t xml:space="preserve"> （六）接受网络远程教育；
   </w:t>
      </w:r>
      <w:r>
        <w:rPr>
          <w:sz w:val="24"/>
          <w:szCs w:val="24"/>
        </w:rPr>
        <w:br w:type="textWrapping"/>
      </w:r>
      <w:r>
        <w:rPr>
          <w:sz w:val="24"/>
          <w:szCs w:val="24"/>
        </w:rPr>
        <w:t xml:space="preserve">
   </w:t>
      </w:r>
      <w:r>
        <w:rPr>
          <w:sz w:val="24"/>
          <w:szCs w:val="24"/>
        </w:rPr>
        <w:br w:type="textWrapping"/>
      </w:r>
      <w:r>
        <w:rPr>
          <w:sz w:val="24"/>
          <w:szCs w:val="24"/>
        </w:rPr>
        <w:t xml:space="preserve"> （七）其他形式的继续教育。
   </w:t>
      </w:r>
      <w:r>
        <w:rPr>
          <w:sz w:val="24"/>
          <w:szCs w:val="24"/>
        </w:rPr>
        <w:br w:type="textWrapping"/>
      </w:r>
      <w:r>
        <w:rPr>
          <w:sz w:val="24"/>
          <w:szCs w:val="24"/>
        </w:rPr>
        <w:t xml:space="preserve">
   </w:t>
      </w:r>
      <w:r>
        <w:rPr>
          <w:sz w:val="24"/>
          <w:szCs w:val="24"/>
        </w:rPr>
        <w:br w:type="textWrapping"/>
      </w:r>
      <w:r>
        <w:rPr>
          <w:sz w:val="24"/>
          <w:szCs w:val="24"/>
        </w:rPr>
        <w:t xml:space="preserve"> 
   </w:t>
      </w:r>
      <w:bookmarkStart w:id="7" w:name="8"/>
      <w:r>
        <w:rPr>
          <w:sz w:val="24"/>
          <w:szCs w:val="24"/>
        </w:rPr>
        <w:t>第八条</w:t>
      </w:r>
      <w:bookmarkEnd w:id="7"/>
      <w:r>
        <w:rPr>
          <w:sz w:val="24"/>
          <w:szCs w:val="24"/>
        </w:rPr>
        <w:t xml:space="preserve">第八条 专业技术人员所在单位应当履行下列义务：
   </w:t>
      </w:r>
      <w:r>
        <w:rPr>
          <w:sz w:val="24"/>
          <w:szCs w:val="24"/>
        </w:rPr>
        <w:br w:type="textWrapping"/>
      </w:r>
      <w:r>
        <w:rPr>
          <w:sz w:val="24"/>
          <w:szCs w:val="24"/>
        </w:rPr>
        <w:t xml:space="preserve">
   </w:t>
      </w:r>
      <w:r>
        <w:rPr>
          <w:sz w:val="24"/>
          <w:szCs w:val="24"/>
        </w:rPr>
        <w:br w:type="textWrapping"/>
      </w:r>
      <w:r>
        <w:rPr>
          <w:sz w:val="24"/>
          <w:szCs w:val="24"/>
        </w:rPr>
        <w:t xml:space="preserve"> （一）制定本单位继续教育计划和管理措施；
   </w:t>
      </w:r>
      <w:r>
        <w:rPr>
          <w:sz w:val="24"/>
          <w:szCs w:val="24"/>
        </w:rPr>
        <w:br w:type="textWrapping"/>
      </w:r>
      <w:r>
        <w:rPr>
          <w:sz w:val="24"/>
          <w:szCs w:val="24"/>
        </w:rPr>
        <w:t xml:space="preserve">
   </w:t>
      </w:r>
      <w:r>
        <w:rPr>
          <w:sz w:val="24"/>
          <w:szCs w:val="24"/>
        </w:rPr>
        <w:br w:type="textWrapping"/>
      </w:r>
      <w:r>
        <w:rPr>
          <w:sz w:val="24"/>
          <w:szCs w:val="24"/>
        </w:rPr>
        <w:t xml:space="preserve"> （二）组织专业技术人员参加继续教育，安排学习时间，提供必要的学习经费和相应条件；
   </w:t>
      </w:r>
      <w:r>
        <w:rPr>
          <w:sz w:val="24"/>
          <w:szCs w:val="24"/>
        </w:rPr>
        <w:br w:type="textWrapping"/>
      </w:r>
      <w:r>
        <w:rPr>
          <w:sz w:val="24"/>
          <w:szCs w:val="24"/>
        </w:rPr>
        <w:t xml:space="preserve">
   </w:t>
      </w:r>
      <w:r>
        <w:rPr>
          <w:sz w:val="24"/>
          <w:szCs w:val="24"/>
        </w:rPr>
        <w:br w:type="textWrapping"/>
      </w:r>
      <w:r>
        <w:rPr>
          <w:sz w:val="24"/>
          <w:szCs w:val="24"/>
        </w:rPr>
        <w:t xml:space="preserve"> （三）登记、检查专业技术人员继续教育情况。
   </w:t>
      </w:r>
      <w:r>
        <w:rPr>
          <w:sz w:val="24"/>
          <w:szCs w:val="24"/>
        </w:rPr>
        <w:br w:type="textWrapping"/>
      </w:r>
      <w:r>
        <w:rPr>
          <w:sz w:val="24"/>
          <w:szCs w:val="24"/>
        </w:rPr>
        <w:t xml:space="preserve">
   </w:t>
      </w:r>
      <w:r>
        <w:rPr>
          <w:sz w:val="24"/>
          <w:szCs w:val="24"/>
        </w:rPr>
        <w:br w:type="textWrapping"/>
      </w:r>
      <w:r>
        <w:rPr>
          <w:sz w:val="24"/>
          <w:szCs w:val="24"/>
        </w:rPr>
        <w:t xml:space="preserve"> 
   </w:t>
      </w:r>
      <w:bookmarkStart w:id="8" w:name="9"/>
      <w:r>
        <w:rPr>
          <w:sz w:val="24"/>
          <w:szCs w:val="24"/>
        </w:rPr>
        <w:t>第九条</w:t>
      </w:r>
      <w:bookmarkEnd w:id="8"/>
      <w:r>
        <w:rPr>
          <w:sz w:val="24"/>
          <w:szCs w:val="24"/>
        </w:rPr>
        <w:t xml:space="preserve">第九条 专业技术人员应当遵守所在单位的继续教育安排。高、中级专业技术人员接受继续教育时间为每年72学时，5年内累计不少于360学时；初级专业技术人员接受继续教育时间为每年32学时，5年内累计不少于160学时。
   </w:t>
      </w:r>
      <w:r>
        <w:rPr>
          <w:sz w:val="24"/>
          <w:szCs w:val="24"/>
        </w:rPr>
        <w:br w:type="textWrapping"/>
      </w:r>
      <w:r>
        <w:rPr>
          <w:sz w:val="24"/>
          <w:szCs w:val="24"/>
        </w:rPr>
        <w:t xml:space="preserve">
   </w:t>
      </w:r>
      <w:r>
        <w:rPr>
          <w:sz w:val="24"/>
          <w:szCs w:val="24"/>
        </w:rPr>
        <w:br w:type="textWrapping"/>
      </w:r>
      <w:r>
        <w:rPr>
          <w:sz w:val="24"/>
          <w:szCs w:val="24"/>
        </w:rPr>
        <w:t xml:space="preserve"> 
   </w:t>
      </w:r>
      <w:bookmarkStart w:id="9" w:name="10"/>
      <w:r>
        <w:rPr>
          <w:sz w:val="24"/>
          <w:szCs w:val="24"/>
        </w:rPr>
        <w:t>第十条</w:t>
      </w:r>
      <w:bookmarkEnd w:id="9"/>
      <w:r>
        <w:rPr>
          <w:sz w:val="24"/>
          <w:szCs w:val="24"/>
        </w:rPr>
        <w:t xml:space="preserve">第十条 派出国外留学、进修或者在国内脱产接受继续教育连续6个月以上、半脱产学习1年以上的专业技术人员，派出单位应当依照有关法律法规与其签订协议。
   </w:t>
      </w:r>
      <w:r>
        <w:rPr>
          <w:sz w:val="24"/>
          <w:szCs w:val="24"/>
        </w:rPr>
        <w:br w:type="textWrapping"/>
      </w:r>
      <w:r>
        <w:rPr>
          <w:sz w:val="24"/>
          <w:szCs w:val="24"/>
        </w:rPr>
        <w:t xml:space="preserve">
   </w:t>
      </w:r>
      <w:r>
        <w:rPr>
          <w:sz w:val="24"/>
          <w:szCs w:val="24"/>
        </w:rPr>
        <w:br w:type="textWrapping"/>
      </w:r>
      <w:r>
        <w:rPr>
          <w:sz w:val="24"/>
          <w:szCs w:val="24"/>
        </w:rPr>
        <w:t xml:space="preserve"> 
   </w:t>
      </w:r>
      <w:bookmarkStart w:id="10" w:name="11"/>
      <w:r>
        <w:rPr>
          <w:sz w:val="24"/>
          <w:szCs w:val="24"/>
        </w:rPr>
        <w:t>第十一条</w:t>
      </w:r>
      <w:bookmarkEnd w:id="10"/>
      <w:r>
        <w:rPr>
          <w:sz w:val="24"/>
          <w:szCs w:val="24"/>
        </w:rPr>
        <w:t xml:space="preserve">第十一条 专业技术人员接受继续教育期间享受与本单位在岗职工同等工资、福利待遇。
   </w:t>
      </w:r>
      <w:r>
        <w:rPr>
          <w:sz w:val="24"/>
          <w:szCs w:val="24"/>
        </w:rPr>
        <w:br w:type="textWrapping"/>
      </w:r>
      <w:r>
        <w:rPr>
          <w:sz w:val="24"/>
          <w:szCs w:val="24"/>
        </w:rPr>
        <w:t xml:space="preserve">
   </w:t>
      </w:r>
      <w:r>
        <w:rPr>
          <w:sz w:val="24"/>
          <w:szCs w:val="24"/>
        </w:rPr>
        <w:br w:type="textWrapping"/>
      </w:r>
      <w:r>
        <w:rPr>
          <w:sz w:val="24"/>
          <w:szCs w:val="24"/>
        </w:rPr>
        <w:t xml:space="preserve"> 
   </w:t>
      </w:r>
      <w:bookmarkStart w:id="11" w:name="12"/>
      <w:r>
        <w:rPr>
          <w:sz w:val="24"/>
          <w:szCs w:val="24"/>
        </w:rPr>
        <w:t>第十二条</w:t>
      </w:r>
      <w:bookmarkEnd w:id="11"/>
      <w:r>
        <w:rPr>
          <w:sz w:val="24"/>
          <w:szCs w:val="24"/>
        </w:rPr>
        <w:t xml:space="preserve">第十二条 专业技术人员取得的科研成果或者发表的论文、著作等作品可以折算学时。具体办法由省人民政府人事行政部门会同有关部门制定。
   </w:t>
      </w:r>
      <w:r>
        <w:rPr>
          <w:sz w:val="24"/>
          <w:szCs w:val="24"/>
        </w:rPr>
        <w:br w:type="textWrapping"/>
      </w:r>
      <w:r>
        <w:rPr>
          <w:sz w:val="24"/>
          <w:szCs w:val="24"/>
        </w:rPr>
        <w:t xml:space="preserve">
   </w:t>
      </w:r>
      <w:r>
        <w:rPr>
          <w:sz w:val="24"/>
          <w:szCs w:val="24"/>
        </w:rPr>
        <w:br w:type="textWrapping"/>
      </w:r>
      <w:r>
        <w:rPr>
          <w:sz w:val="24"/>
          <w:szCs w:val="24"/>
        </w:rPr>
        <w:t xml:space="preserve"> 
   </w:t>
      </w:r>
      <w:bookmarkStart w:id="12" w:name="13"/>
      <w:r>
        <w:rPr>
          <w:sz w:val="24"/>
          <w:szCs w:val="24"/>
        </w:rPr>
        <w:t>第十三条</w:t>
      </w:r>
      <w:bookmarkEnd w:id="12"/>
      <w:r>
        <w:rPr>
          <w:sz w:val="24"/>
          <w:szCs w:val="24"/>
        </w:rPr>
        <w:t xml:space="preserve">第十三条 省人民政府人事行政部门应当建立对专业技术人员接受继续教育的考核、评估、登记制度。
   </w:t>
      </w:r>
      <w:r>
        <w:rPr>
          <w:sz w:val="24"/>
          <w:szCs w:val="24"/>
        </w:rPr>
        <w:br w:type="textWrapping"/>
      </w:r>
      <w:r>
        <w:rPr>
          <w:sz w:val="24"/>
          <w:szCs w:val="24"/>
        </w:rPr>
        <w:t xml:space="preserve">
   </w:t>
      </w:r>
      <w:r>
        <w:rPr>
          <w:sz w:val="24"/>
          <w:szCs w:val="24"/>
        </w:rPr>
        <w:br w:type="textWrapping"/>
      </w:r>
      <w:r>
        <w:rPr>
          <w:sz w:val="24"/>
          <w:szCs w:val="24"/>
        </w:rPr>
        <w:t xml:space="preserve"> 县级以上人民政府人事行政部门应当对专业技术人员接受继续教育的时间、学时、学习形式、学习内容、考核结果等情况进行登记，作为专业技术人员聘任、职务晋升的内容之一。
   </w:t>
      </w:r>
      <w:r>
        <w:rPr>
          <w:sz w:val="24"/>
          <w:szCs w:val="24"/>
        </w:rPr>
        <w:br w:type="textWrapping"/>
      </w:r>
      <w:r>
        <w:rPr>
          <w:sz w:val="24"/>
          <w:szCs w:val="24"/>
        </w:rPr>
        <w:t xml:space="preserve">
   </w:t>
      </w:r>
      <w:r>
        <w:rPr>
          <w:sz w:val="24"/>
          <w:szCs w:val="24"/>
        </w:rPr>
        <w:br w:type="textWrapping"/>
      </w:r>
      <w:r>
        <w:rPr>
          <w:sz w:val="24"/>
          <w:szCs w:val="24"/>
        </w:rPr>
        <w:t xml:space="preserve"> 
   </w:t>
      </w:r>
      <w:bookmarkStart w:id="13" w:name="14"/>
      <w:r>
        <w:rPr>
          <w:sz w:val="24"/>
          <w:szCs w:val="24"/>
        </w:rPr>
        <w:t>第十四条</w:t>
      </w:r>
      <w:bookmarkEnd w:id="13"/>
      <w:r>
        <w:rPr>
          <w:sz w:val="24"/>
          <w:szCs w:val="24"/>
        </w:rPr>
        <w:t xml:space="preserve">第十四条 继续教育经费由政府、单位和个人多种渠道解决：
   </w:t>
      </w:r>
      <w:r>
        <w:rPr>
          <w:sz w:val="24"/>
          <w:szCs w:val="24"/>
        </w:rPr>
        <w:br w:type="textWrapping"/>
      </w:r>
      <w:r>
        <w:rPr>
          <w:sz w:val="24"/>
          <w:szCs w:val="24"/>
        </w:rPr>
        <w:t xml:space="preserve">
   </w:t>
      </w:r>
      <w:r>
        <w:rPr>
          <w:sz w:val="24"/>
          <w:szCs w:val="24"/>
        </w:rPr>
        <w:br w:type="textWrapping"/>
      </w:r>
      <w:r>
        <w:rPr>
          <w:sz w:val="24"/>
          <w:szCs w:val="24"/>
        </w:rPr>
        <w:t xml:space="preserve"> （一）各级财政每年安排一定资金，用于发展继续教育事业；
   </w:t>
      </w:r>
      <w:r>
        <w:rPr>
          <w:sz w:val="24"/>
          <w:szCs w:val="24"/>
        </w:rPr>
        <w:br w:type="textWrapping"/>
      </w:r>
      <w:r>
        <w:rPr>
          <w:sz w:val="24"/>
          <w:szCs w:val="24"/>
        </w:rPr>
        <w:t xml:space="preserve">
   </w:t>
      </w:r>
      <w:r>
        <w:rPr>
          <w:sz w:val="24"/>
          <w:szCs w:val="24"/>
        </w:rPr>
        <w:br w:type="textWrapping"/>
      </w:r>
      <w:r>
        <w:rPr>
          <w:sz w:val="24"/>
          <w:szCs w:val="24"/>
        </w:rPr>
        <w:t xml:space="preserve"> （二）有条件的地区，可以按照国家规定设立继续教育专项资金；
   </w:t>
      </w:r>
      <w:r>
        <w:rPr>
          <w:sz w:val="24"/>
          <w:szCs w:val="24"/>
        </w:rPr>
        <w:br w:type="textWrapping"/>
      </w:r>
      <w:r>
        <w:rPr>
          <w:sz w:val="24"/>
          <w:szCs w:val="24"/>
        </w:rPr>
        <w:t xml:space="preserve">
   </w:t>
      </w:r>
      <w:r>
        <w:rPr>
          <w:sz w:val="24"/>
          <w:szCs w:val="24"/>
        </w:rPr>
        <w:br w:type="textWrapping"/>
      </w:r>
      <w:r>
        <w:rPr>
          <w:sz w:val="24"/>
          <w:szCs w:val="24"/>
        </w:rPr>
        <w:t xml:space="preserve"> （三）企业、事业单位以及其他社会组织应当保证本单位继续教育经费不低于国家规定的标准；
   </w:t>
      </w:r>
      <w:r>
        <w:rPr>
          <w:sz w:val="24"/>
          <w:szCs w:val="24"/>
        </w:rPr>
        <w:br w:type="textWrapping"/>
      </w:r>
      <w:r>
        <w:rPr>
          <w:sz w:val="24"/>
          <w:szCs w:val="24"/>
        </w:rPr>
        <w:t xml:space="preserve">
   </w:t>
      </w:r>
      <w:r>
        <w:rPr>
          <w:sz w:val="24"/>
          <w:szCs w:val="24"/>
        </w:rPr>
        <w:br w:type="textWrapping"/>
      </w:r>
      <w:r>
        <w:rPr>
          <w:sz w:val="24"/>
          <w:szCs w:val="24"/>
        </w:rPr>
        <w:t xml:space="preserve"> （四）个人按照国家和所在单位的规定承担相应的费用。
   </w:t>
      </w:r>
      <w:r>
        <w:rPr>
          <w:sz w:val="24"/>
          <w:szCs w:val="24"/>
        </w:rPr>
        <w:br w:type="textWrapping"/>
      </w:r>
      <w:r>
        <w:rPr>
          <w:sz w:val="24"/>
          <w:szCs w:val="24"/>
        </w:rPr>
        <w:t xml:space="preserve">
   </w:t>
      </w:r>
      <w:r>
        <w:rPr>
          <w:sz w:val="24"/>
          <w:szCs w:val="24"/>
        </w:rPr>
        <w:br w:type="textWrapping"/>
      </w:r>
      <w:r>
        <w:rPr>
          <w:sz w:val="24"/>
          <w:szCs w:val="24"/>
        </w:rPr>
        <w:t xml:space="preserve"> 鼓励社会组织或者个人通过各种形式支持继续教育事业。
   </w:t>
      </w:r>
      <w:r>
        <w:rPr>
          <w:sz w:val="24"/>
          <w:szCs w:val="24"/>
        </w:rPr>
        <w:br w:type="textWrapping"/>
      </w:r>
      <w:r>
        <w:rPr>
          <w:sz w:val="24"/>
          <w:szCs w:val="24"/>
        </w:rPr>
        <w:t xml:space="preserve">
   </w:t>
      </w:r>
      <w:r>
        <w:rPr>
          <w:sz w:val="24"/>
          <w:szCs w:val="24"/>
        </w:rPr>
        <w:br w:type="textWrapping"/>
      </w:r>
      <w:r>
        <w:rPr>
          <w:sz w:val="24"/>
          <w:szCs w:val="24"/>
        </w:rPr>
        <w:t xml:space="preserve"> 
   </w:t>
      </w:r>
      <w:bookmarkStart w:id="14" w:name="15"/>
      <w:r>
        <w:rPr>
          <w:sz w:val="24"/>
          <w:szCs w:val="24"/>
        </w:rPr>
        <w:t>第十五条</w:t>
      </w:r>
      <w:bookmarkEnd w:id="14"/>
      <w:r>
        <w:rPr>
          <w:sz w:val="24"/>
          <w:szCs w:val="24"/>
        </w:rPr>
        <w:t xml:space="preserve">第十五条 专业技术人员所在单位的继续教育经费在职工教育经费中列支，实行专款专用，不得截留、侵占、挪用。
   </w:t>
      </w:r>
      <w:r>
        <w:rPr>
          <w:sz w:val="24"/>
          <w:szCs w:val="24"/>
        </w:rPr>
        <w:br w:type="textWrapping"/>
      </w:r>
      <w:r>
        <w:rPr>
          <w:sz w:val="24"/>
          <w:szCs w:val="24"/>
        </w:rPr>
        <w:t xml:space="preserve">
   </w:t>
      </w:r>
      <w:r>
        <w:rPr>
          <w:sz w:val="24"/>
          <w:szCs w:val="24"/>
        </w:rPr>
        <w:br w:type="textWrapping"/>
      </w:r>
      <w:r>
        <w:rPr>
          <w:sz w:val="24"/>
          <w:szCs w:val="24"/>
        </w:rPr>
        <w:t xml:space="preserve"> 
   </w:t>
      </w:r>
      <w:bookmarkStart w:id="15" w:name="16"/>
      <w:r>
        <w:rPr>
          <w:sz w:val="24"/>
          <w:szCs w:val="24"/>
        </w:rPr>
        <w:t>第十六条</w:t>
      </w:r>
      <w:bookmarkEnd w:id="15"/>
      <w:r>
        <w:rPr>
          <w:sz w:val="24"/>
          <w:szCs w:val="24"/>
        </w:rPr>
        <w:t xml:space="preserve">第十六条 专业技术人员不服从所在单位继续教育安排的，由所在单位给予批评教育；无正当理由不能按期完成学习任务的，应当承担所在单位所支付的部分或者全部学习费用。
   </w:t>
      </w:r>
      <w:r>
        <w:rPr>
          <w:sz w:val="24"/>
          <w:szCs w:val="24"/>
        </w:rPr>
        <w:br w:type="textWrapping"/>
      </w:r>
      <w:r>
        <w:rPr>
          <w:sz w:val="24"/>
          <w:szCs w:val="24"/>
        </w:rPr>
        <w:t xml:space="preserve">
   </w:t>
      </w:r>
      <w:r>
        <w:rPr>
          <w:sz w:val="24"/>
          <w:szCs w:val="24"/>
        </w:rPr>
        <w:br w:type="textWrapping"/>
      </w:r>
      <w:r>
        <w:rPr>
          <w:sz w:val="24"/>
          <w:szCs w:val="24"/>
        </w:rPr>
        <w:t xml:space="preserve"> 
   </w:t>
      </w:r>
      <w:bookmarkStart w:id="16" w:name="17"/>
      <w:r>
        <w:rPr>
          <w:sz w:val="24"/>
          <w:szCs w:val="24"/>
        </w:rPr>
        <w:t>第十七条</w:t>
      </w:r>
      <w:bookmarkEnd w:id="16"/>
      <w:r>
        <w:rPr>
          <w:sz w:val="24"/>
          <w:szCs w:val="24"/>
        </w:rPr>
        <w:t xml:space="preserve">第十七条 专业技术人员所在单位违反第八条规定的，由有关部门责令其限期改正；逾期不改的，对直接负责的主管人员和其他直接责任人员依法给予处分。
   </w:t>
      </w:r>
      <w:r>
        <w:rPr>
          <w:sz w:val="24"/>
          <w:szCs w:val="24"/>
        </w:rPr>
        <w:br w:type="textWrapping"/>
      </w:r>
      <w:r>
        <w:rPr>
          <w:sz w:val="24"/>
          <w:szCs w:val="24"/>
        </w:rPr>
        <w:t xml:space="preserve">
   </w:t>
      </w:r>
      <w:r>
        <w:rPr>
          <w:sz w:val="24"/>
          <w:szCs w:val="24"/>
        </w:rPr>
        <w:br w:type="textWrapping"/>
      </w:r>
      <w:r>
        <w:rPr>
          <w:sz w:val="24"/>
          <w:szCs w:val="24"/>
        </w:rPr>
        <w:t xml:space="preserve"> 
   </w:t>
      </w:r>
      <w:bookmarkStart w:id="17" w:name="18"/>
      <w:r>
        <w:rPr>
          <w:sz w:val="24"/>
          <w:szCs w:val="24"/>
        </w:rPr>
        <w:t>第十八条</w:t>
      </w:r>
      <w:bookmarkEnd w:id="17"/>
      <w:r>
        <w:rPr>
          <w:sz w:val="24"/>
          <w:szCs w:val="24"/>
        </w:rPr>
        <w:t xml:space="preserve">第十八条 继续教育培训机构违反规定乱收费，教学质量达不到规定要求的，依照有关法律、法规的规定处理。
   </w:t>
      </w:r>
      <w:r>
        <w:rPr>
          <w:sz w:val="24"/>
          <w:szCs w:val="24"/>
        </w:rPr>
        <w:br w:type="textWrapping"/>
      </w:r>
      <w:r>
        <w:rPr>
          <w:sz w:val="24"/>
          <w:szCs w:val="24"/>
        </w:rPr>
        <w:t xml:space="preserve">
   </w:t>
      </w:r>
      <w:r>
        <w:rPr>
          <w:sz w:val="24"/>
          <w:szCs w:val="24"/>
        </w:rPr>
        <w:br w:type="textWrapping"/>
      </w:r>
      <w:r>
        <w:rPr>
          <w:sz w:val="24"/>
          <w:szCs w:val="24"/>
        </w:rPr>
        <w:t xml:space="preserve"> 
   </w:t>
      </w:r>
      <w:bookmarkStart w:id="18" w:name="19"/>
      <w:r>
        <w:rPr>
          <w:sz w:val="24"/>
          <w:szCs w:val="24"/>
        </w:rPr>
        <w:t>第十九条</w:t>
      </w:r>
      <w:bookmarkEnd w:id="18"/>
      <w:r>
        <w:rPr>
          <w:sz w:val="24"/>
          <w:szCs w:val="24"/>
        </w:rPr>
        <w:t xml:space="preserve">第十九条 从事继续教育行政管理的工作人员违反本规定，滥用职权、玩忽职守、徇私舞弊，尚不构成犯罪的，依法给予行政处分。
   </w:t>
      </w:r>
      <w:r>
        <w:rPr>
          <w:sz w:val="24"/>
          <w:szCs w:val="24"/>
        </w:rPr>
        <w:br w:type="textWrapping"/>
      </w:r>
      <w:r>
        <w:rPr>
          <w:sz w:val="24"/>
          <w:szCs w:val="24"/>
        </w:rPr>
        <w:t xml:space="preserve">
   </w:t>
      </w:r>
      <w:r>
        <w:rPr>
          <w:sz w:val="24"/>
          <w:szCs w:val="24"/>
        </w:rPr>
        <w:br w:type="textWrapping"/>
      </w:r>
      <w:r>
        <w:rPr>
          <w:sz w:val="24"/>
          <w:szCs w:val="24"/>
        </w:rPr>
        <w:t xml:space="preserve"> 
   </w:t>
      </w:r>
      <w:bookmarkStart w:id="19" w:name="20"/>
      <w:r>
        <w:rPr>
          <w:sz w:val="24"/>
          <w:szCs w:val="24"/>
        </w:rPr>
        <w:t>第二十条</w:t>
      </w:r>
      <w:bookmarkEnd w:id="19"/>
      <w:r>
        <w:rPr>
          <w:sz w:val="24"/>
          <w:szCs w:val="24"/>
        </w:rPr>
        <w:t xml:space="preserve">第二十条 本规定自2007年10月1日起施行。 
   </w:t>
      </w:r>
      <w:r>
        <w:rPr>
          <w:sz w:val="24"/>
          <w:szCs w:val="24"/>
        </w:rPr>
        <w:br w:type="textWrapping"/>
      </w:r>
      <w:r>
        <w:rPr>
          <w:sz w:val="24"/>
          <w:szCs w:val="24"/>
        </w:rPr>
        <w:t xml:space="preserve">
   </w:t>
      </w:r>
      <w:r>
        <w:rPr>
          <w:sz w:val="24"/>
          <w:szCs w:val="24"/>
        </w:rPr>
        <w:br w:type="textWrapping"/>
      </w:r>
      <w:r>
        <w:rPr>
          <w:sz w:val="24"/>
          <w:szCs w:val="24"/>
        </w:rPr>
        <w:t xml:space="preserve">
  </w:t>
      </w:r>
    </w:p>
    <w:p>
      <w:pPr>
        <w:spacing w:after="0"/>
        <w:ind w:left="120"/>
        <w:jc w:val="left"/>
      </w:pPr>
      <w:r>
        <w:rPr>
          <w:rFonts w:ascii="Times New Roman" w:hAnsi="Times New Roman"/>
          <w:b w:val="0"/>
          <w:i w:val="0"/>
          <w:color w:val="000000"/>
          <w:sz w:val="22"/>
        </w:rPr>
        <w:t xml:space="preserve">
   </w:t>
      </w:r>
      <w:r>
        <w:br w:type="textWrapping"/>
      </w:r>
      <w:r>
        <w:rPr>
          <w:rFonts w:ascii="Times New Roman" w:hAnsi="Times New Roman"/>
          <w:b w:val="0"/>
          <w:i w:val="0"/>
          <w:color w:val="000000"/>
          <w:sz w:val="22"/>
        </w:rPr>
        <w:t xml:space="preserve">
   </w:t>
      </w:r>
      <w:r>
        <w:br w:type="textWrapping"/>
      </w:r>
      <w:r>
        <w:rPr>
          <w:rFonts w:ascii="Times New Roman" w:hAnsi="Times New Roman"/>
          <w:b w:val="0"/>
          <w:i w:val="0"/>
          <w:color w:val="000000"/>
          <w:sz w:val="22"/>
        </w:rPr>
        <w:t xml:space="preserve">
   </w:t>
      </w:r>
    </w:p>
    <w:p>
      <w:pPr>
        <w:spacing w:after="0"/>
        <w:ind w:left="120"/>
        <w:jc w:val="left"/>
      </w:pPr>
      <w:bookmarkStart w:id="20" w:name="_GoBack"/>
      <w:bookmarkEnd w:id="20"/>
    </w:p>
    <w:sectPr>
      <w:pgSz w:w="11907" w:h="16839"/>
      <w:pgMar w:top="1440" w:right="1080" w:bottom="1440" w:left="10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compatSetting w:name="compatibilityMode" w:uri="http://schemas.microsoft.com/office/word" w:val="12"/>
    <w:compatSetting w:name="overrideTableStyleFontSizeAndJustification" w:uri="http://schemas.microsoft.com/office/word" w:val="1"/>
  </w:compat>
  <w:rsids>
    <w:rsidRoot w:val="00000000"/>
    <w:rsid w:val="332168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table" w:styleId="12">
    <w:name w:val="Table Grid"/>
    <w:basedOn w:val="1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link w:val="8"/>
    <w:qFormat/>
    <w:uiPriority w:val="99"/>
  </w:style>
  <w:style w:type="character" w:customStyle="1" w:styleId="17">
    <w:name w:val="Heading 1 Char"/>
    <w:basedOn w:val="13"/>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13"/>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13"/>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13"/>
    <w:link w:val="9"/>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13"/>
    <w:link w:val="10"/>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Office_11.1.0.9145_F1E327BC-269C-435d-A152-05C5408002CA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2019-11-05T00:17:28Z</dcterms:created>
  <dc:creator>Administrator.PC-20190805FSPB</dc:creator>
  <cp:lastModifiedBy>笛韵清远</cp:lastModifiedBy>
  <dcterms:modified xsi:type="dcterms:W3CDTF">2019-11-05T00:19:13Z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